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
        <w:rPr>
          <w:rFonts w:ascii="Aptos" w:cs="Aptos" w:eastAsia="Aptos" w:hAnsi="Aptos"/>
          <w:b/>
          <w:bCs/>
          <w:color w:val="214D39"/>
          <w:sz w:val="19"/>
          <w:szCs w:val="19"/>
        </w:rPr>
      </w:pPr>
      <w:r>
        <w:t xml:space="preserve">A18 LABS   /   FICTIONAL ANNUAL COMMERCIAL CREDIT REVIEW</w:t>
      </w:r>
    </w:p>
    <w:p>
      <w:pPr>
        <w:pStyle w:val="Title"/>
        <w:spacing w:after="150"/>
      </w:pPr>
      <w:r>
        <w:rPr>
          <w:rFonts w:ascii="Aptos" w:cs="Aptos" w:eastAsia="Aptos" w:hAnsi="Aptos"/>
          <w:b/>
          <w:bCs/>
          <w:color w:val="214D39"/>
          <w:sz w:val="36"/>
          <w:szCs w:val="36"/>
        </w:rPr>
        <w:t xml:space="preserve">Juniper Valley Service Group</w:t>
      </w:r>
    </w:p>
    <w:p>
      <w:pPr>
        <w:spacing w:after="100"/>
      </w:pPr>
      <w:r>
        <w:rPr>
          <w:rFonts w:ascii="Aptos" w:cs="Aptos" w:eastAsia="Aptos" w:hAnsi="Aptos"/>
          <w:b w:val="false"/>
          <w:bCs w:val="false"/>
          <w:color w:val="26352C"/>
          <w:sz w:val="19"/>
          <w:szCs w:val="19"/>
        </w:rPr>
        <w:t xml:space="preserve">Review basis: FY2025 year-end | comparative 9M2026 | periodic monitoring only</w:t>
      </w:r>
    </w:p>
    <w:p>
      <w:pPr>
        <w:spacing w:after="100"/>
      </w:pPr>
      <w:r>
        <w:rPr>
          <w:rFonts w:ascii="Aptos" w:cs="Aptos" w:eastAsia="Aptos" w:hAnsi="Aptos"/>
          <w:b/>
          <w:bCs/>
          <w:color w:val="214D39"/>
          <w:sz w:val="19"/>
          <w:szCs w:val="19"/>
        </w:rPr>
        <w:t xml:space="preserve">Document status: SENIOR-REVIEWED FICTIONAL SAMPLE | Not an actual credit decision</w:t>
      </w:r>
    </w:p>
    <w:p>
      <w:pPr>
        <w:spacing w:after="100"/>
      </w:pPr>
      <w:r>
        <w:rPr>
          <w:rFonts w:ascii="Aptos" w:cs="Aptos" w:eastAsia="Aptos" w:hAnsi="Aptos"/>
          <w:b w:val="false"/>
          <w:bCs w:val="false"/>
          <w:color w:val="26352C"/>
          <w:sz w:val="19"/>
          <w:szCs w:val="19"/>
        </w:rPr>
        <w:t xml:space="preserve">All entities, amounts, evidence references and contractual terms are illustrative. This example has received senior credit review for demonstration. Original borrower-document verification, full guarantor global analysis and actual lender-policy testing have not been performed.</w:t>
      </w:r>
    </w:p>
    <w:p>
      <w:pPr>
        <w:pStyle w:val="Heading1"/>
        <w:keepNext/>
        <w:spacing w:after="115" w:before="290"/>
      </w:pPr>
      <w:r>
        <w:rPr>
          <w:rFonts w:ascii="Aptos" w:cs="Aptos" w:eastAsia="Aptos" w:hAnsi="Aptos"/>
          <w:b/>
          <w:bCs/>
          <w:color w:val="214D39"/>
          <w:sz w:val="26"/>
          <w:szCs w:val="26"/>
        </w:rPr>
        <w:t xml:space="preserve">1. Executive credit view</w:t>
      </w:r>
    </w:p>
    <w:p>
      <w:pPr>
        <w:spacing w:after="100"/>
      </w:pPr>
      <w:r>
        <w:rPr>
          <w:rFonts w:ascii="Aptos" w:cs="Aptos" w:eastAsia="Aptos" w:hAnsi="Aptos"/>
          <w:b w:val="false"/>
          <w:bCs w:val="false"/>
          <w:color w:val="26352C"/>
          <w:sz w:val="19"/>
          <w:szCs w:val="19"/>
        </w:rPr>
        <w:t xml:space="preserve">Analyst disposition: Return for evidence completion, risk-rating consideration and qualified review. Do not certify covenant compliance, clear the seven open items or represent this document as lender-approved. A credit officer should consider enhanced A/R and earnings monitoring while the gaps are resolved.</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Key indicator</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Illustrative result</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Interpretation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Credit-union funded exposure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$1,554k</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Two assumed facilities; commitments and maturities unconfirmed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FY2025 borrower-group revenue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$6,780k</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Three-year revenue uptrend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Borrower-group EBITDA</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$870k</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Assumes internal rent is eliminated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FY2025 cash available for debt service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$474k</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Taxes, capex, working capital and distributions deducted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Management-summary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1.78x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Incomplete; omits annual lease payments</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Corrected borrower-group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1.45x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Includes all identified economic service, not guarantor global DSCR</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 EBITDA downside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1.19x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Below fictional monitoring floor of 1.25x</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Prior risk grade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Assumed 4 – Pass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validated or reaffirmed; only lender can determine rating</w:t>
            </w:r>
          </w:p>
        </w:tc>
      </w:tr>
    </w:tbl>
    <w:p>
      <w:pPr>
        <w:pStyle w:val="Heading2"/>
        <w:keepNext/>
        <w:spacing w:after="80" w:before="190"/>
      </w:pPr>
      <w:r>
        <w:rPr>
          <w:rFonts w:ascii="Aptos" w:cs="Aptos" w:eastAsia="Aptos" w:hAnsi="Aptos"/>
          <w:b/>
          <w:bCs/>
          <w:color w:val="214D39"/>
          <w:sz w:val="22"/>
          <w:szCs w:val="22"/>
        </w:rPr>
        <w:t xml:space="preserve">Credit strengths</w:t>
      </w:r>
    </w:p>
    <w:p>
      <w:pPr>
        <w:pStyle w:val="ListParagraph"/>
        <w:numPr>
          <w:ilvl w:val="0"/>
          <w:numId w:val="1"/>
        </w:numPr>
        <w:spacing w:after="60"/>
        <w:ind w:left="340"/>
        <w:rPr>
          <w:rFonts w:ascii="Aptos" w:cs="Aptos" w:eastAsia="Aptos" w:hAnsi="Aptos"/>
          <w:sz w:val="19"/>
          <w:szCs w:val="19"/>
        </w:rPr>
      </w:pPr>
      <w:r>
        <w:t xml:space="preserve">Three years of modeled positive group EBITDA and expanding revenue; assumed 2025 payment history is satisfactory but not authenticated.</w:t>
      </w:r>
    </w:p>
    <w:p>
      <w:pPr>
        <w:pStyle w:val="ListParagraph"/>
        <w:numPr>
          <w:ilvl w:val="0"/>
          <w:numId w:val="1"/>
        </w:numPr>
        <w:spacing w:after="60"/>
        <w:ind w:left="340"/>
        <w:rPr>
          <w:rFonts w:ascii="Aptos" w:cs="Aptos" w:eastAsia="Aptos" w:hAnsi="Aptos"/>
          <w:sz w:val="19"/>
          <w:szCs w:val="19"/>
        </w:rPr>
      </w:pPr>
      <w:r>
        <w:t xml:space="preserve">Corrected 2025 borrower-group DSCR exceeds the fictional 1.25x internal monitoring floor.</w:t>
      </w:r>
    </w:p>
    <w:p>
      <w:pPr>
        <w:pStyle w:val="ListParagraph"/>
        <w:numPr>
          <w:ilvl w:val="0"/>
          <w:numId w:val="1"/>
        </w:numPr>
        <w:spacing w:after="60"/>
        <w:ind w:left="340"/>
        <w:rPr>
          <w:rFonts w:ascii="Aptos" w:cs="Aptos" w:eastAsia="Aptos" w:hAnsi="Aptos"/>
          <w:sz w:val="19"/>
          <w:szCs w:val="19"/>
        </w:rPr>
      </w:pPr>
      <w:r>
        <w:t xml:space="preserve">Assumed CRE collateral indicates 62.4% LTV; valuation and lien status are unverified.</w:t>
      </w:r>
    </w:p>
    <w:p>
      <w:pPr>
        <w:pStyle w:val="Heading2"/>
        <w:keepNext/>
        <w:spacing w:after="80" w:before="190"/>
      </w:pPr>
      <w:r>
        <w:rPr>
          <w:rFonts w:ascii="Aptos" w:cs="Aptos" w:eastAsia="Aptos" w:hAnsi="Aptos"/>
          <w:b/>
          <w:bCs/>
          <w:color w:val="214D39"/>
          <w:sz w:val="22"/>
          <w:szCs w:val="22"/>
        </w:rPr>
        <w:t xml:space="preserve">Credit concerns</w:t>
      </w:r>
    </w:p>
    <w:p>
      <w:pPr>
        <w:pStyle w:val="ListParagraph"/>
        <w:numPr>
          <w:ilvl w:val="0"/>
          <w:numId w:val="1"/>
        </w:numPr>
        <w:spacing w:after="60"/>
        <w:ind w:left="340"/>
        <w:rPr>
          <w:rFonts w:ascii="Aptos" w:cs="Aptos" w:eastAsia="Aptos" w:hAnsi="Aptos"/>
          <w:sz w:val="19"/>
          <w:szCs w:val="19"/>
        </w:rPr>
      </w:pPr>
      <w:r>
        <w:t xml:space="preserve">Omitted $60k finance-lease service changed DSCR from 1.78x to 1.45x.</w:t>
      </w:r>
    </w:p>
    <w:p>
      <w:pPr>
        <w:pStyle w:val="ListParagraph"/>
        <w:numPr>
          <w:ilvl w:val="0"/>
          <w:numId w:val="1"/>
        </w:numPr>
        <w:spacing w:after="60"/>
        <w:ind w:left="340"/>
        <w:rPr>
          <w:rFonts w:ascii="Aptos" w:cs="Aptos" w:eastAsia="Aptos" w:hAnsi="Aptos"/>
          <w:sz w:val="19"/>
          <w:szCs w:val="19"/>
        </w:rPr>
      </w:pPr>
      <w:r>
        <w:t xml:space="preserve">$225k of A/R is over 60 days (22.8%) and largest customer is assumed to represent 29% of revenue.</w:t>
      </w:r>
    </w:p>
    <w:p>
      <w:pPr>
        <w:pStyle w:val="ListParagraph"/>
        <w:numPr>
          <w:ilvl w:val="0"/>
          <w:numId w:val="1"/>
        </w:numPr>
        <w:spacing w:after="60"/>
        <w:ind w:left="340"/>
        <w:rPr>
          <w:rFonts w:ascii="Aptos" w:cs="Aptos" w:eastAsia="Aptos" w:hAnsi="Aptos"/>
          <w:sz w:val="19"/>
          <w:szCs w:val="19"/>
        </w:rPr>
      </w:pPr>
      <w:r>
        <w:t xml:space="preserve">9M2026 EBITDA deteriorates despite positive sales growth; guarantor liquidity and contingent obligations are stale or missing.</w:t>
      </w:r>
    </w:p>
    <w:p>
      <w:pPr>
        <w:pStyle w:val="ListParagraph"/>
        <w:numPr>
          <w:ilvl w:val="0"/>
          <w:numId w:val="1"/>
        </w:numPr>
        <w:spacing w:after="60"/>
        <w:ind w:left="340"/>
        <w:rPr>
          <w:rFonts w:ascii="Aptos" w:cs="Aptos" w:eastAsia="Aptos" w:hAnsi="Aptos"/>
          <w:sz w:val="19"/>
          <w:szCs w:val="19"/>
        </w:rPr>
      </w:pPr>
      <w:r>
        <w:t xml:space="preserve">Executed covenant, institution policy, up-to-date collateral and signed ownership/guaranty documents are absent.</w:t>
      </w:r>
    </w:p>
    <w:p>
      <w:pPr>
        <w:pStyle w:val="Heading1"/>
        <w:keepNext/>
        <w:spacing w:after="115" w:before="290"/>
      </w:pPr>
      <w:r>
        <w:rPr>
          <w:rFonts w:ascii="Aptos" w:cs="Aptos" w:eastAsia="Aptos" w:hAnsi="Aptos"/>
          <w:b/>
          <w:bCs/>
          <w:color w:val="214D39"/>
          <w:sz w:val="26"/>
          <w:szCs w:val="26"/>
        </w:rPr>
        <w:t xml:space="preserve">2. Borrower, related entities and facilities</w:t>
      </w:r>
    </w:p>
    <w:p>
      <w:pPr>
        <w:spacing w:after="100"/>
      </w:pPr>
      <w:r>
        <w:rPr>
          <w:rFonts w:ascii="Aptos" w:cs="Aptos" w:eastAsia="Aptos" w:hAnsi="Aptos"/>
          <w:b w:val="false"/>
          <w:bCs w:val="false"/>
          <w:color w:val="26352C"/>
          <w:sz w:val="19"/>
          <w:szCs w:val="19"/>
        </w:rPr>
        <w:t xml:space="preserve">Juniper Valley Field Services, Inc. is assumed to provide regional commercial facility-maintenance services. Juniper Valley Property Holdings, LLC is a related holding company that leases the service yard to the operator. Morgan Vale is assumed to control both. These are modeled case facts, not verified borrower attributes.</w:t>
      </w:r>
    </w:p>
    <w:p>
      <w:pPr>
        <w:spacing w:after="100"/>
      </w:pPr>
      <w:r>
        <w:rPr>
          <w:rFonts w:ascii="Aptos" w:cs="Aptos" w:eastAsia="Aptos" w:hAnsi="Aptos"/>
          <w:b w:val="false"/>
          <w:bCs w:val="false"/>
          <w:color w:val="26352C"/>
          <w:sz w:val="19"/>
          <w:szCs w:val="19"/>
        </w:rPr>
        <w:t xml:space="preserve">Ownership, management background and tenure, employee count, key contracts, supplier dependence, lien priority and full associated-borrower scope require independent verification. Do not treat related-party rent as third-party repayment cash.</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Facility</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Original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Current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2025 service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Status</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 mortgage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1450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1216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133</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Terms/maturity unverified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 equipment term</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525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338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Terms/maturity unverified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 FUNDED TOTAL</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1975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1554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247</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 verified unfunded commitments</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Outside revolver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N/A</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240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Outside CU exposure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Finance lease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N/A</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150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Missing from summary; economic debt</w:t>
            </w:r>
          </w:p>
        </w:tc>
      </w:tr>
    </w:tbl>
    <w:p>
      <w:pPr>
        <w:spacing w:after="100"/>
      </w:pPr>
      <w:r>
        <w:rPr>
          <w:rFonts w:ascii="Aptos" w:cs="Aptos" w:eastAsia="Aptos" w:hAnsi="Aptos"/>
          <w:b w:val="false"/>
          <w:bCs w:val="false"/>
          <w:color w:val="26352C"/>
          <w:sz w:val="19"/>
          <w:szCs w:val="19"/>
        </w:rPr>
        <w:t xml:space="preserve">Modeled relationship debt and lease balances total $1,944k, of which $1,554k is credit-union exposure. Historic payment records after 2025 are unverified.</w:t>
      </w:r>
    </w:p>
    <w:p>
      <w:pPr>
        <w:pStyle w:val="Heading1"/>
        <w:keepNext/>
        <w:spacing w:after="115" w:before="290"/>
      </w:pPr>
      <w:r>
        <w:rPr>
          <w:rFonts w:ascii="Aptos" w:cs="Aptos" w:eastAsia="Aptos" w:hAnsi="Aptos"/>
          <w:b/>
          <w:bCs/>
          <w:color w:val="214D39"/>
          <w:sz w:val="26"/>
          <w:szCs w:val="26"/>
        </w:rPr>
        <w:t xml:space="preserve">3. Operating performance and cash flow</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USD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FY2023</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FY2024</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FY2025</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Third-party revenue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5840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6330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6780</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Cost of services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-3340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-3600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-3840</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Gross profit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2500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2730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2940</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Field services cash expense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-1870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-2030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-2192</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Operating-company EBITDA</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630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700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748</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Property net EBITDA</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122</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Borrower-group EBITDA</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738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815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870</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Cash taxes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-120</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Unfinanced recurring capex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-121</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Working-capital investment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-90</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Owner distributions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-55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-65</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Cash available for debt service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418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462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474</w:t>
            </w:r>
          </w:p>
        </w:tc>
      </w:tr>
    </w:tbl>
    <w:p>
      <w:pPr>
        <w:spacing w:after="100"/>
      </w:pPr>
      <w:r>
        <w:rPr>
          <w:rFonts w:ascii="Aptos" w:cs="Aptos" w:eastAsia="Aptos" w:hAnsi="Aptos"/>
          <w:b w:val="false"/>
          <w:bCs w:val="false"/>
          <w:color w:val="26352C"/>
          <w:sz w:val="19"/>
          <w:szCs w:val="19"/>
        </w:rPr>
        <w:t xml:space="preserve">FY2025 OpCo EBITDA = $748k and property-company cash EBITDA = $122k, producing $870k group EBITDA. The operator's modeled $180k rent expense offsets property rent income; these transactions cannot generate incremental external cash when consolidating.</w:t>
      </w:r>
    </w:p>
    <w:p>
      <w:pPr>
        <w:spacing w:after="100"/>
      </w:pPr>
      <w:r>
        <w:rPr>
          <w:rFonts w:ascii="Aptos" w:cs="Aptos" w:eastAsia="Aptos" w:hAnsi="Aptos"/>
          <w:b w:val="false"/>
          <w:bCs w:val="false"/>
          <w:color w:val="26352C"/>
          <w:sz w:val="19"/>
          <w:szCs w:val="19"/>
        </w:rPr>
        <w:t xml:space="preserve">The modeled 9M2026 comparison shows revenue growing from $4.91M to $5.22M (+6.3%) but EBITDA declining from $650k to $610k (-6.2%). Obtain TTM numbers and explanation of job-margin deterioration; this is not a FY2026 debt-coverage test.</w:t>
      </w:r>
    </w:p>
    <w:p>
      <w:pPr>
        <w:pStyle w:val="Heading1"/>
        <w:keepNext/>
        <w:spacing w:after="115" w:before="290"/>
      </w:pPr>
      <w:r>
        <w:rPr>
          <w:rFonts w:ascii="Aptos" w:cs="Aptos" w:eastAsia="Aptos" w:hAnsi="Aptos"/>
          <w:b/>
          <w:bCs/>
          <w:color w:val="214D39"/>
          <w:sz w:val="26"/>
          <w:szCs w:val="26"/>
        </w:rPr>
        <w:t xml:space="preserve">4. Debt-service reconciliation and stress</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FY2025 payment stream</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Management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Complete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Source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 mortgage P&amp;I</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133</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133</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S-04</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 equipment term P&amp;I</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S-04</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Outside revolver interest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S-05</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Finance lease payments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S-05 (omitted)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TOTAL SERVICE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266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326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Modeled debt reconciliation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Borrower-group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1.78x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1.45x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FY2025 CFADS $474k</w:t>
            </w:r>
          </w:p>
        </w:tc>
      </w:tr>
    </w:tbl>
    <w:p>
      <w:pPr>
        <w:spacing w:after="100"/>
      </w:pPr>
      <w:r>
        <w:rPr>
          <w:rFonts w:ascii="Aptos" w:cs="Aptos" w:eastAsia="Aptos" w:hAnsi="Aptos"/>
          <w:b w:val="false"/>
          <w:bCs w:val="false"/>
          <w:color w:val="26352C"/>
          <w:sz w:val="19"/>
          <w:szCs w:val="19"/>
        </w:rPr>
        <w:t xml:space="preserve">After EBITDA of $870k and cash deductions of $396k, modeled CFADS = $474k. Debt service is $326k and cash cushion after service is $148k.</w:t>
      </w:r>
    </w:p>
    <w:p>
      <w:pPr>
        <w:spacing w:after="100"/>
      </w:pPr>
      <w:r>
        <w:rPr>
          <w:rFonts w:ascii="Aptos" w:cs="Aptos" w:eastAsia="Aptos" w:hAnsi="Aptos"/>
          <w:b w:val="false"/>
          <w:bCs w:val="false"/>
          <w:color w:val="26352C"/>
          <w:sz w:val="19"/>
          <w:szCs w:val="19"/>
        </w:rPr>
        <w:t xml:space="preserve">Stress test: a 10% reduction of EBITDA, holding deductions and service unchanged, reduces CFADS to $387k and coverage to 1.19x, below the assumed 1.25x threshold. This is a sensitivity, not a probability of default.</w:t>
      </w:r>
    </w:p>
    <w:p>
      <w:pPr>
        <w:spacing w:after="100"/>
      </w:pPr>
      <w:r>
        <w:rPr>
          <w:rFonts w:ascii="Aptos" w:cs="Aptos" w:eastAsia="Aptos" w:hAnsi="Aptos"/>
          <w:b w:val="false"/>
          <w:bCs w:val="false"/>
          <w:color w:val="26352C"/>
          <w:sz w:val="19"/>
          <w:szCs w:val="19"/>
        </w:rPr>
        <w:t xml:space="preserve">FULL GLOBAL ANALYSIS NOT ESTABLISHED: guarantor personal income, all debt obligations, other entity ownership, distributions, guarantees and contingent liabilities cannot be reconciled.</w:t>
      </w:r>
    </w:p>
    <w:p>
      <w:pPr>
        <w:pStyle w:val="Heading1"/>
        <w:keepNext/>
        <w:spacing w:after="115" w:before="290"/>
      </w:pPr>
      <w:r>
        <w:rPr>
          <w:rFonts w:ascii="Aptos" w:cs="Aptos" w:eastAsia="Aptos" w:hAnsi="Aptos"/>
          <w:b/>
          <w:bCs/>
          <w:color w:val="214D39"/>
          <w:sz w:val="26"/>
          <w:szCs w:val="26"/>
        </w:rPr>
        <w:t xml:space="preserve">5. Balance sheet, A/R aging and liquidity</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USD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FY2023</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FY2024</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FY2025</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9M2026</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Unrestricted cash</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220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240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205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172</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Trade A/R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720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810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985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1145</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Work in progress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150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175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220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242</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Inventory</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116</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Total current assets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1180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1320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1510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1675</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Current liabilities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802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892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1085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1197</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Working capital</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378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428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425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478</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Current ratio</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1.47x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1.48x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1.39x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1.40x</w:t>
            </w:r>
          </w:p>
        </w:tc>
      </w:tr>
    </w:tbl>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FY2025 A/R aging</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Share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0–30 days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570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57.9%</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31–60 days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19.3%</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61–90 days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12.2%</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Over 90 days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10.7%</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Total</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985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100.0% (rounding)</w:t>
            </w:r>
          </w:p>
        </w:tc>
      </w:tr>
    </w:tbl>
    <w:p>
      <w:pPr>
        <w:spacing w:after="100"/>
      </w:pPr>
      <w:r>
        <w:rPr>
          <w:rFonts w:ascii="Aptos" w:cs="Aptos" w:eastAsia="Aptos" w:hAnsi="Aptos"/>
          <w:b w:val="false"/>
          <w:bCs w:val="false"/>
          <w:color w:val="26352C"/>
          <w:sz w:val="19"/>
          <w:szCs w:val="19"/>
        </w:rPr>
        <w:t xml:space="preserve">A/R grew 21.6% compared with 7.1% revenue growth. A simplified ending-balance A/R divided by annual revenue proxy moved from 46.7 to 53.0 days; this is NOT a true average-balance DSO. The full cash flow statement, current collections and total balance-sheet leverage are not available; do not infer verified free cash flow.</w:t>
      </w:r>
    </w:p>
    <w:p>
      <w:pPr>
        <w:pStyle w:val="Heading1"/>
        <w:keepNext/>
        <w:spacing w:after="115" w:before="290"/>
      </w:pPr>
      <w:r>
        <w:rPr>
          <w:rFonts w:ascii="Aptos" w:cs="Aptos" w:eastAsia="Aptos" w:hAnsi="Aptos"/>
          <w:b/>
          <w:bCs/>
          <w:color w:val="214D39"/>
          <w:sz w:val="26"/>
          <w:szCs w:val="26"/>
        </w:rPr>
        <w:t xml:space="preserve">6. Collateral and guarantor</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Assumed security</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Balance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Collateral $000</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Indicative LTV</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Evidence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CRE mortgage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1216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1950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62.4%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2023 value only; obtain current appraisal / title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Equipment term</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338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450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75.1%</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2024 estimate only; verify valuation / liens</w:t>
            </w:r>
          </w:p>
        </w:tc>
      </w:tr>
    </w:tbl>
    <w:p>
      <w:pPr>
        <w:spacing w:after="100"/>
      </w:pPr>
      <w:r>
        <w:rPr>
          <w:rFonts w:ascii="Aptos" w:cs="Aptos" w:eastAsia="Aptos" w:hAnsi="Aptos"/>
          <w:b w:val="false"/>
          <w:bCs w:val="false"/>
          <w:color w:val="26352C"/>
          <w:sz w:val="19"/>
          <w:szCs w:val="19"/>
        </w:rPr>
        <w:t xml:space="preserve">Outside revolver illustration: $985k gross A/R less $105k &gt;90 days, $120k 61-90 days, $65k concentration exclusion and $15k contra gives $680k eligibility. At 75% advance less $75k lender reserve, the fictional borrowing base is $435k and availability against $240k balance is $195k. No signed certificate was provided and this does not offset CU exposure.</w:t>
      </w:r>
    </w:p>
    <w:p>
      <w:pPr>
        <w:spacing w:after="100"/>
      </w:pPr>
      <w:r>
        <w:rPr>
          <w:rFonts w:ascii="Aptos" w:cs="Aptos" w:eastAsia="Aptos" w:hAnsi="Aptos"/>
          <w:b w:val="false"/>
          <w:bCs w:val="false"/>
          <w:color w:val="26352C"/>
          <w:sz w:val="19"/>
          <w:szCs w:val="19"/>
        </w:rPr>
        <w:t xml:space="preserve">Guarantor Morgan Vale has assumed 2024 reported net worth $2,350k and liquid assets $88k. No verified current cash, outside obligations, income, debt or contingent-guarantee information exists. Consequently, no guarantor cash flow is credited.</w:t>
      </w:r>
    </w:p>
    <w:p>
      <w:pPr>
        <w:pStyle w:val="Heading1"/>
        <w:keepNext/>
        <w:spacing w:after="115" w:before="290"/>
      </w:pPr>
      <w:r>
        <w:rPr>
          <w:rFonts w:ascii="Aptos" w:cs="Aptos" w:eastAsia="Aptos" w:hAnsi="Aptos"/>
          <w:b/>
          <w:bCs/>
          <w:color w:val="214D39"/>
          <w:sz w:val="26"/>
          <w:szCs w:val="26"/>
        </w:rPr>
        <w:t xml:space="preserve">7. Contractual tests and risk rating</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Separate test</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Formula</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Modeled result</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Interpretation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Internal borrower-group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474 / 326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1.45x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Above fictional 1.25x monitoring floor</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Fictional contractual FCCR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(870-120-121-65) / 326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1.73x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Above fictional 1.30x covenant, not certified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Incomplete management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474 / 266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1.78x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Omitted lease; do not substitute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10% EBITDA-down DSCR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387 / 326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1.19x</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Below fictional 1.25x floor</w:t>
            </w:r>
          </w:p>
        </w:tc>
      </w:tr>
    </w:tbl>
    <w:p>
      <w:pPr>
        <w:spacing w:after="100"/>
      </w:pPr>
      <w:r>
        <w:rPr>
          <w:rFonts w:ascii="Aptos" w:cs="Aptos" w:eastAsia="Aptos" w:hAnsi="Aptos"/>
          <w:b w:val="false"/>
          <w:bCs w:val="false"/>
          <w:color w:val="26352C"/>
          <w:sz w:val="19"/>
          <w:szCs w:val="19"/>
        </w:rPr>
        <w:t xml:space="preserve">The fictional FCCR excludes modeled working-capital investment while internal monitoring DSCR deducts it. Signed contracts and policy can use different definitions, test dates, debt service and adjustments. No actual covenant or policy pass is claimed.</w:t>
      </w:r>
    </w:p>
    <w:p>
      <w:pPr>
        <w:spacing w:after="100"/>
      </w:pPr>
      <w:r>
        <w:rPr>
          <w:rFonts w:ascii="Aptos" w:cs="Aptos" w:eastAsia="Aptos" w:hAnsi="Aptos"/>
          <w:b w:val="false"/>
          <w:bCs w:val="false"/>
          <w:color w:val="26352C"/>
          <w:sz w:val="19"/>
          <w:szCs w:val="19"/>
        </w:rPr>
        <w:t xml:space="preserve">Risk rating: hypothetical previous 4-Pass is unverified. Credit officer must consider negative collection and margin trends, lease-service completeness, management and guarantor condition, primary repayment capacity, collateral and a potential risk-grade change under the institution's actual rating scale.</w:t>
      </w:r>
    </w:p>
    <w:p>
      <w:pPr>
        <w:pStyle w:val="Heading1"/>
        <w:keepNext/>
        <w:spacing w:after="115" w:before="290"/>
      </w:pPr>
      <w:r>
        <w:rPr>
          <w:rFonts w:ascii="Aptos" w:cs="Aptos" w:eastAsia="Aptos" w:hAnsi="Aptos"/>
          <w:b/>
          <w:bCs/>
          <w:color w:val="214D39"/>
          <w:sz w:val="26"/>
          <w:szCs w:val="26"/>
        </w:rPr>
        <w:t xml:space="preserve">8. Seven open exceptions and resolution</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Priority</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Finding</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Required action / owner</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Status</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HIGH E01</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$60K annual finance lease payment missing from management debt-service summary</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Obtain executed lease, amortization/payment proof and prior-year debt completeness; reconcile all service. (Analyst and credit officer)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HIGH E02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Guarantor global cash flow and contingent obligations not established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Obtain current personal financial statement, tax returns, cash verification, debt and guarantee schedule. (Borrower and reviewer)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HIGH E03</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$225K (22.8%) of receivables over 60 days and assumed 29% customer revenue concentration</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Obtain subsequent receipts, dispute/retention details, customer-by-customer aging and concentration plan. (Borrower and credit officer)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MEDIUM E04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9M2026 earnings down while sales rose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Request trailing-twelve-month financials, job margin bridge and management explanation. (Borrower and analyst)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MEDIUM E05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Collateral values stale and revolver borrowing base unverified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Refresh valuation as policy requires; verify liens, insurance and eligibility certificate. (Lender)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MEDIUM E06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Related-entity/owner ownership and guarantees unsupported by executed records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Confirm entity structure, lease, guaranties and cross-default/cross-collateral terms. (Lender)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MEDIUM E07</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Covenant calculations use fictional definitions; policy status cannot be certified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Read executed credit agreements, amendments, lender policy and applicable test date. (Credit officer)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OPEN</w:t>
            </w:r>
          </w:p>
        </w:tc>
      </w:tr>
    </w:tbl>
    <w:p>
      <w:pPr>
        <w:pStyle w:val="Heading1"/>
        <w:keepNext/>
        <w:spacing w:after="115" w:before="290"/>
      </w:pPr>
      <w:r>
        <w:rPr>
          <w:rFonts w:ascii="Aptos" w:cs="Aptos" w:eastAsia="Aptos" w:hAnsi="Aptos"/>
          <w:b/>
          <w:bCs/>
          <w:color w:val="214D39"/>
          <w:sz w:val="26"/>
          <w:szCs w:val="26"/>
        </w:rPr>
        <w:t xml:space="preserve">9. Review gates, limitations and audit trail</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Gate</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Status</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Arithmetic vs synthetic inputs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Checked programmatically</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Original borrower financials and debt instruments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Completeness of guarantor global cash flow</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Institution-specific rating, policy and signed covenant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Collateral valuation / lien perfection / insurance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Senior review of fictional demonstration</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REVIEWED FOR ILLUSTRATIVE USE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Authorized credit union risk rating / committee approval</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PERFORMED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Release for lender decision</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BLOCKED</w:t>
            </w:r>
          </w:p>
        </w:tc>
      </w:tr>
    </w:tbl>
    <w:p>
      <w:pPr>
        <w:spacing w:after="100"/>
      </w:pPr>
      <w:r>
        <w:rPr>
          <w:rFonts w:ascii="Aptos" w:cs="Aptos" w:eastAsia="Aptos" w:hAnsi="Aptos"/>
          <w:b w:val="false"/>
          <w:bCs w:val="false"/>
          <w:color w:val="26352C"/>
          <w:sz w:val="19"/>
          <w:szCs w:val="19"/>
        </w:rPr>
        <w:t xml:space="preserve">Evidence identifiers below refer to constructed hypothetical source types, not attached authentic borrower files. They illustrate the provenance a paid engagement would need to provide.</w:t>
      </w:r>
    </w:p>
    <w:tbl>
      <w:tblPr>
        <w:tblW w:type="pct" w:w="100%"/>
        <w:tblBorders>
          <w:top w:val="single" w:color="C8DACD" w:sz="2"/>
          <w:left w:val="single" w:color="auto" w:sz="4"/>
          <w:bottom w:val="single" w:color="C8DACD" w:sz="2"/>
          <w:right w:val="single" w:color="auto" w:sz="4"/>
          <w:insideH w:val="single" w:color="DFE8E0" w:sz="1"/>
          <w:insideV w:val="single" w:color="DFE8E0" w:sz="1"/>
        </w:tblBorders>
      </w:tblPr>
      <w:tblGrid>
        <w:gridCol w:w="100"/>
        <w:gridCol w:w="100"/>
        <w:gridCol w:w="100"/>
        <w:gridCol w:w="100"/>
      </w:tblGrid>
      <w:tr>
        <w:trPr>
          <w:tblHeader/>
        </w:trPr>
        <w:tc>
          <w:tcPr>
            <w:shd w:fill="E6F1E9"/>
            <w:tcMar>
              <w:top w:type="dxa" w:w="85"/>
              <w:left w:type="dxa" w:w="90"/>
              <w:bottom w:type="dxa" w:w="85"/>
              <w:right w:type="dxa" w:w="90"/>
            </w:tcMar>
          </w:tcPr>
          <w:p>
            <w:r>
              <w:rPr>
                <w:rFonts w:ascii="Aptos" w:cs="Aptos" w:eastAsia="Aptos" w:hAnsi="Aptos"/>
                <w:b/>
                <w:bCs/>
                <w:color w:val="214D39"/>
                <w:sz w:val="17"/>
                <w:szCs w:val="17"/>
              </w:rPr>
              <w:t xml:space="preserve">Ref</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Constructed input</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Analysis use</w:t>
            </w:r>
          </w:p>
        </w:tc>
        <w:tc>
          <w:tcPr>
            <w:shd w:fill="E6F1E9"/>
            <w:tcMar>
              <w:top w:type="dxa" w:w="85"/>
              <w:left w:type="dxa" w:w="90"/>
              <w:bottom w:type="dxa" w:w="85"/>
              <w:right w:type="dxa" w:w="90"/>
            </w:tcMar>
          </w:tcPr>
          <w:p>
            <w:r>
              <w:rPr>
                <w:rFonts w:ascii="Aptos" w:cs="Aptos" w:eastAsia="Aptos" w:hAnsi="Aptos"/>
                <w:b/>
                <w:bCs/>
                <w:color w:val="214D39"/>
                <w:sz w:val="17"/>
                <w:szCs w:val="17"/>
              </w:rPr>
              <w:t xml:space="preserve">Reliability</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S-01</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Field Services FY2023–25 hypothetical operating statements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Modeled earnings and cash costs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Constructed, not authenticated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Property Holdings FY2023–25 hypothetical operating statements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Intercompany rent elimination, property costs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Constructed, not authenticated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S-03</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Hypothetical balance sheets and A/R ledger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Current ratio, aging, collection proxy</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Constructed; no full cash flow statement</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S-04</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Assumed CU mortgage and equipment notes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Exposure, repayment requirements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Illustrative; signed terms unavailable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S-05</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Outside revolver and finance lease scenario</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Global group obligations and omitted lease</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Illustrative; lender confirmation outstanding</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S-06</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Constructed A/R eligibility worksheet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Borrowing-base scenario, not certified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 signed borrowing-base certificate</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S-07</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Fictional CU monitoring standard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Illustrative 1.25x monitoring threshold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a real institution policy</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S-08</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Fictional contractual covenant</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Illustrative 1.30x FCCR threshold</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 executed agreement</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S-09</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Hypothetical 2023 CRE and 2024 equipment values</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Indicative LTV only</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 current independent valuation</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S-10</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Assumed 2024 guarantor personal financial summary</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Reported liquidity/net worth</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Stale, no verified global obligations</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S-11</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Fictional 2025 payment ledger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Historic performance indicator</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Recent payment status unverified</w:t>
            </w:r>
          </w:p>
        </w:tc>
      </w:tr>
      <w:tr>
        <w:trPr>
          <w:tblHeader w:val="false"/>
        </w:trPr>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S-12</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Constructed 9M2025 and 9M2026 comparison</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Margin deterioration question</w:t>
            </w:r>
          </w:p>
        </w:tc>
        <w:tc>
          <w:tcPr>
            <w:shd w:fill="FFFFFF"/>
            <w:tcMar>
              <w:top w:type="dxa" w:w="85"/>
              <w:left w:type="dxa" w:w="90"/>
              <w:bottom w:type="dxa" w:w="85"/>
              <w:right w:type="dxa" w:w="90"/>
            </w:tcMar>
          </w:tcPr>
          <w:p>
            <w:r>
              <w:rPr>
                <w:rFonts w:ascii="Aptos" w:cs="Aptos" w:eastAsia="Aptos" w:hAnsi="Aptos"/>
                <w:b w:val="false"/>
                <w:bCs w:val="false"/>
                <w:color w:val="506154"/>
                <w:sz w:val="17"/>
                <w:szCs w:val="17"/>
              </w:rPr>
              <w:t xml:space="preserve">Not a current verified interim package</w:t>
            </w:r>
          </w:p>
        </w:tc>
      </w:tr>
    </w:tbl>
    <w:p>
      <w:pPr>
        <w:spacing w:after="100"/>
      </w:pPr>
      <w:r>
        <w:rPr>
          <w:rFonts w:ascii="Aptos" w:cs="Aptos" w:eastAsia="Aptos" w:hAnsi="Aptos"/>
          <w:b w:val="false"/>
          <w:bCs w:val="false"/>
          <w:color w:val="26352C"/>
          <w:sz w:val="19"/>
          <w:szCs w:val="19"/>
        </w:rPr>
        <w:t xml:space="preserve">This downloadable Word memorandum is editable and generated from the same fictional numeric model as the Excel workbook and public sample. The source statements, executed contracts and independent review required for a real credit opinion do not exist in this demonstration. A18 does not assign or approve the institution's risk rating.</w:t>
      </w:r>
    </w:p>
    <w:sectPr>
      <w:headerReference w:type="default" r:id="rId7"/>
      <w:footerReference w:type="default" r:id="rId8"/>
      <w:pgSz w:w="12240" w:h="15840" w:orient="portrait"/>
      <w:pgMar w:top="770" w:right="780" w:bottom="740" w:left="7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87B6C"/>
        <w:sz w:val="14"/>
        <w:szCs w:val="14"/>
      </w:rPr>
      <w:t xml:space="preserve">ILLUSTRATIVE · NOT A CREDIT DECISION  |  PAGE </w:t>
    </w:r>
    <w:r>
      <w:rPr>
        <w:color w:val="687B6C"/>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ptos" w:cs="Aptos" w:eastAsia="Aptos" w:hAnsi="Aptos"/>
        <w:color w:val="687B6C"/>
        <w:sz w:val="14"/>
        <w:szCs w:val="14"/>
      </w:rPr>
      <w:t xml:space="preserve">A18 LABS  /  FICTIONAL ANNUAL REVIEW  /  SENIOR-REVIEWED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6352C"/>
        <w:sz w:val="19"/>
        <w:szCs w:val="19"/>
      </w:rPr>
    </w:rPrDefault>
    <w:pPrDefault>
      <w:pPr>
        <w:spacing w:after="110" w:line="28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Valley — Fictional Annual Commercial Credit Review</dc:title>
  <dc:creator>A18 Labs</dc:creator>
  <dc:description>Senior-reviewed fictional commercial credit review for demonstration.</dc:description>
  <cp:lastModifiedBy>Un-named</cp:lastModifiedBy>
  <cp:revision>1</cp:revision>
  <dcterms:created xsi:type="dcterms:W3CDTF">2026-11-05T06:24:01.861Z</dcterms:created>
  <dcterms:modified xsi:type="dcterms:W3CDTF">2026-11-05T06:24:01.863Z</dcterms:modified>
</cp:coreProperties>
</file>

<file path=docProps/custom.xml><?xml version="1.0" encoding="utf-8"?>
<Properties xmlns="http://schemas.openxmlformats.org/officeDocument/2006/custom-properties" xmlns:vt="http://schemas.openxmlformats.org/officeDocument/2006/docPropsVTypes"/>
</file>